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21DB6" w14:textId="77777777" w:rsidR="00FA53F6" w:rsidRPr="00E531FD" w:rsidRDefault="00FA53F6" w:rsidP="00FA53F6">
      <w:pPr>
        <w:shd w:val="clear" w:color="auto" w:fill="FCFCFC"/>
        <w:bidi/>
        <w:spacing w:after="225" w:line="675" w:lineRule="atLeast"/>
        <w:jc w:val="both"/>
        <w:textAlignment w:val="baseline"/>
        <w:outlineLvl w:val="0"/>
        <w:rPr>
          <w:rFonts w:asciiTheme="minorBidi" w:eastAsia="Times New Roman" w:hAnsiTheme="minorBidi"/>
          <w:b/>
          <w:bCs/>
          <w:kern w:val="36"/>
          <w:sz w:val="32"/>
          <w:szCs w:val="32"/>
        </w:rPr>
      </w:pPr>
      <w:r w:rsidRPr="00E531FD">
        <w:rPr>
          <w:rFonts w:asciiTheme="minorBidi" w:eastAsia="Times New Roman" w:hAnsiTheme="minorBidi"/>
          <w:b/>
          <w:bCs/>
          <w:kern w:val="36"/>
          <w:sz w:val="32"/>
          <w:szCs w:val="32"/>
          <w:rtl/>
        </w:rPr>
        <w:t>سياسة مكافحة غسيل الأموال</w:t>
      </w:r>
    </w:p>
    <w:p w14:paraId="4B6A73D5" w14:textId="69B2409C" w:rsidR="00FA53F6" w:rsidRPr="00E531FD" w:rsidRDefault="00FA53F6" w:rsidP="00E531FD">
      <w:pPr>
        <w:shd w:val="clear" w:color="auto" w:fill="FCFCFC"/>
        <w:bidi/>
        <w:spacing w:after="225" w:line="240" w:lineRule="auto"/>
        <w:jc w:val="both"/>
        <w:textAlignment w:val="baseline"/>
        <w:rPr>
          <w:rFonts w:asciiTheme="minorBidi" w:eastAsia="Times New Roman" w:hAnsiTheme="minorBidi"/>
          <w:b/>
          <w:bCs/>
          <w:sz w:val="32"/>
          <w:szCs w:val="32"/>
        </w:rPr>
      </w:pPr>
      <w:r w:rsidRPr="00E531FD">
        <w:rPr>
          <w:rFonts w:asciiTheme="minorBidi" w:eastAsia="Times New Roman" w:hAnsiTheme="minorBidi"/>
          <w:b/>
          <w:bCs/>
          <w:sz w:val="32"/>
          <w:szCs w:val="32"/>
          <w:rtl/>
        </w:rPr>
        <w:t xml:space="preserve">ان شركة </w:t>
      </w:r>
      <w:r w:rsidR="00E531FD" w:rsidRPr="00E531FD">
        <w:rPr>
          <w:rFonts w:asciiTheme="minorBidi" w:eastAsia="Times New Roman" w:hAnsiTheme="minorBidi" w:hint="cs"/>
          <w:b/>
          <w:bCs/>
          <w:sz w:val="32"/>
          <w:szCs w:val="32"/>
          <w:rtl/>
          <w:lang w:bidi="ar-DZ"/>
        </w:rPr>
        <w:t>دينار</w:t>
      </w:r>
      <w:r w:rsidRPr="00E531FD">
        <w:rPr>
          <w:rFonts w:asciiTheme="minorBidi" w:eastAsia="Times New Roman" w:hAnsiTheme="minorBidi"/>
          <w:b/>
          <w:bCs/>
          <w:sz w:val="32"/>
          <w:szCs w:val="32"/>
          <w:rtl/>
        </w:rPr>
        <w:t xml:space="preserve"> للصرافة ملتزمة بالقوانين والتعليمات الخاصة بمكافحة غسل الأموال وتمويل الإرهاب، وتتخذ كافة الاجراءات اللازمة من أجل الامتثال لهذه القوانين والتعليمات والتأكد أن جميع العمليات المالية المصرفية المنفذة من قبل الشركة، ناتجة عن نشاطات مشروعة بموجب القوانين وتؤول إلى جهات مشروعة، كما أن الالتزام بمكافحة غسل الأموال و تمويل الإرهاب أولوية لدى الشركة لبناء علاقات صيرفية مع العملاء مبنية على أسس أخلاقية وتطابق أفضل معايير الخدمة الصيرفية، خاصة بما يتعلق بتطبيق مفهوم اعرف متعاملك</w:t>
      </w:r>
      <w:r w:rsidRPr="00E531FD">
        <w:rPr>
          <w:rFonts w:asciiTheme="minorBidi" w:eastAsia="Times New Roman" w:hAnsiTheme="minorBidi"/>
          <w:b/>
          <w:bCs/>
          <w:sz w:val="32"/>
          <w:szCs w:val="32"/>
        </w:rPr>
        <w:t xml:space="preserve"> (Know Your Customer) </w:t>
      </w:r>
      <w:r w:rsidRPr="00E531FD">
        <w:rPr>
          <w:rFonts w:asciiTheme="minorBidi" w:eastAsia="Times New Roman" w:hAnsiTheme="minorBidi"/>
          <w:b/>
          <w:bCs/>
          <w:sz w:val="32"/>
          <w:szCs w:val="32"/>
          <w:rtl/>
        </w:rPr>
        <w:t>وأخذ المعايير والإجراءات اللازمة لتحديد المستفيد الحقيقي من العمليات</w:t>
      </w:r>
      <w:r w:rsidRPr="00E531FD">
        <w:rPr>
          <w:rFonts w:asciiTheme="minorBidi" w:eastAsia="Times New Roman" w:hAnsiTheme="minorBidi"/>
          <w:b/>
          <w:bCs/>
          <w:sz w:val="32"/>
          <w:szCs w:val="32"/>
        </w:rPr>
        <w:t>.</w:t>
      </w:r>
    </w:p>
    <w:p w14:paraId="4DEA8C5E" w14:textId="77777777" w:rsidR="00FA53F6" w:rsidRPr="00E531FD" w:rsidRDefault="00FA53F6" w:rsidP="00FA53F6">
      <w:pPr>
        <w:shd w:val="clear" w:color="auto" w:fill="FCFCFC"/>
        <w:bidi/>
        <w:spacing w:after="225" w:line="240" w:lineRule="auto"/>
        <w:jc w:val="both"/>
        <w:textAlignment w:val="baseline"/>
        <w:rPr>
          <w:rFonts w:asciiTheme="minorBidi" w:eastAsia="Times New Roman" w:hAnsiTheme="minorBidi"/>
          <w:b/>
          <w:bCs/>
          <w:sz w:val="32"/>
          <w:szCs w:val="32"/>
        </w:rPr>
      </w:pPr>
      <w:r w:rsidRPr="00E531FD">
        <w:rPr>
          <w:rFonts w:asciiTheme="minorBidi" w:eastAsia="Times New Roman" w:hAnsiTheme="minorBidi"/>
          <w:b/>
          <w:bCs/>
          <w:sz w:val="32"/>
          <w:szCs w:val="32"/>
          <w:rtl/>
        </w:rPr>
        <w:t>تطبق الشركة جميع المعايير والمقاييس مؤكدة التزامها للقوانين، القواعد،الانظمة والتعليمات، وأيضاً في تعريف واجبات الموظفين تجاه الشركة ، من أجل التأكد من إتباع الممارسات الفضلى والصحيحة. كما تتبع الشركة جميع القوانين السارية والمطبقة في المملكة الأردنية الهاشمية والممارسات الفضلى حول العالم وخاصة ما يلي</w:t>
      </w:r>
      <w:r w:rsidRPr="00E531FD">
        <w:rPr>
          <w:rFonts w:asciiTheme="minorBidi" w:eastAsia="Times New Roman" w:hAnsiTheme="minorBidi"/>
          <w:b/>
          <w:bCs/>
          <w:sz w:val="32"/>
          <w:szCs w:val="32"/>
        </w:rPr>
        <w:t>:-</w:t>
      </w:r>
    </w:p>
    <w:p w14:paraId="3A17D1C2" w14:textId="1BBE4FD3" w:rsidR="00FA53F6" w:rsidRPr="00E531FD" w:rsidRDefault="00FA53F6" w:rsidP="00AF55E6">
      <w:pPr>
        <w:pStyle w:val="ListParagraph"/>
        <w:numPr>
          <w:ilvl w:val="0"/>
          <w:numId w:val="2"/>
        </w:numPr>
        <w:bidi/>
        <w:spacing w:after="0" w:line="240" w:lineRule="auto"/>
        <w:jc w:val="both"/>
        <w:rPr>
          <w:rFonts w:asciiTheme="minorBidi" w:eastAsia="Times New Roman" w:hAnsiTheme="minorBidi"/>
          <w:b/>
          <w:bCs/>
          <w:sz w:val="32"/>
          <w:szCs w:val="32"/>
        </w:rPr>
      </w:pPr>
      <w:r w:rsidRPr="00E531FD">
        <w:rPr>
          <w:rFonts w:asciiTheme="minorBidi" w:eastAsia="Times New Roman" w:hAnsiTheme="minorBidi"/>
          <w:b/>
          <w:bCs/>
          <w:sz w:val="32"/>
          <w:szCs w:val="32"/>
          <w:rtl/>
        </w:rPr>
        <w:t>قانون مكافحة غسل الاموال وتمويل الارهاب العامل بالمملكة وتعديلاته</w:t>
      </w:r>
      <w:r w:rsidRPr="00E531FD">
        <w:rPr>
          <w:rFonts w:asciiTheme="minorBidi" w:eastAsia="Times New Roman" w:hAnsiTheme="minorBidi"/>
          <w:b/>
          <w:bCs/>
          <w:sz w:val="32"/>
          <w:szCs w:val="32"/>
        </w:rPr>
        <w:t>.</w:t>
      </w:r>
    </w:p>
    <w:p w14:paraId="3ED6D0A0" w14:textId="00820704" w:rsidR="00FA53F6" w:rsidRPr="00E531FD" w:rsidRDefault="00FA53F6" w:rsidP="00AF55E6">
      <w:pPr>
        <w:pStyle w:val="ListParagraph"/>
        <w:numPr>
          <w:ilvl w:val="0"/>
          <w:numId w:val="2"/>
        </w:numPr>
        <w:bidi/>
        <w:spacing w:after="0" w:line="240" w:lineRule="auto"/>
        <w:jc w:val="both"/>
        <w:rPr>
          <w:rFonts w:asciiTheme="minorBidi" w:eastAsia="Times New Roman" w:hAnsiTheme="minorBidi"/>
          <w:b/>
          <w:bCs/>
          <w:sz w:val="32"/>
          <w:szCs w:val="32"/>
        </w:rPr>
      </w:pPr>
      <w:r w:rsidRPr="00E531FD">
        <w:rPr>
          <w:rFonts w:asciiTheme="minorBidi" w:eastAsia="Times New Roman" w:hAnsiTheme="minorBidi"/>
          <w:b/>
          <w:bCs/>
          <w:sz w:val="32"/>
          <w:szCs w:val="32"/>
          <w:rtl/>
        </w:rPr>
        <w:t>تعليمات مكافحة غسل الاموال وتمويل الارهاب الخاصة بشركات الصرافة وتعديلاتها</w:t>
      </w:r>
      <w:r w:rsidRPr="00E531FD">
        <w:rPr>
          <w:rFonts w:asciiTheme="minorBidi" w:eastAsia="Times New Roman" w:hAnsiTheme="minorBidi"/>
          <w:b/>
          <w:bCs/>
          <w:sz w:val="32"/>
          <w:szCs w:val="32"/>
        </w:rPr>
        <w:t>.</w:t>
      </w:r>
    </w:p>
    <w:p w14:paraId="520E5919" w14:textId="00CFBCC8" w:rsidR="00FA53F6" w:rsidRPr="00E531FD" w:rsidRDefault="00FA53F6" w:rsidP="00AF55E6">
      <w:pPr>
        <w:pStyle w:val="ListParagraph"/>
        <w:numPr>
          <w:ilvl w:val="0"/>
          <w:numId w:val="2"/>
        </w:numPr>
        <w:bidi/>
        <w:spacing w:after="0" w:line="240" w:lineRule="auto"/>
        <w:jc w:val="both"/>
        <w:rPr>
          <w:rFonts w:asciiTheme="minorBidi" w:eastAsia="Times New Roman" w:hAnsiTheme="minorBidi"/>
          <w:b/>
          <w:bCs/>
          <w:sz w:val="32"/>
          <w:szCs w:val="32"/>
        </w:rPr>
      </w:pPr>
      <w:r w:rsidRPr="00E531FD">
        <w:rPr>
          <w:rFonts w:asciiTheme="minorBidi" w:eastAsia="Times New Roman" w:hAnsiTheme="minorBidi"/>
          <w:b/>
          <w:bCs/>
          <w:sz w:val="32"/>
          <w:szCs w:val="32"/>
          <w:rtl/>
        </w:rPr>
        <w:t>تعليمات البنك المركزي الأردني، وتعليمات وحدة مكافحة غسل الاموال الاردنية</w:t>
      </w:r>
      <w:r w:rsidRPr="00E531FD">
        <w:rPr>
          <w:rFonts w:asciiTheme="minorBidi" w:eastAsia="Times New Roman" w:hAnsiTheme="minorBidi"/>
          <w:b/>
          <w:bCs/>
          <w:sz w:val="32"/>
          <w:szCs w:val="32"/>
        </w:rPr>
        <w:t>.</w:t>
      </w:r>
    </w:p>
    <w:p w14:paraId="0B7CFF28" w14:textId="7665988E" w:rsidR="00FA53F6" w:rsidRPr="00E531FD" w:rsidRDefault="00FA53F6" w:rsidP="00AF55E6">
      <w:pPr>
        <w:pStyle w:val="ListParagraph"/>
        <w:numPr>
          <w:ilvl w:val="0"/>
          <w:numId w:val="2"/>
        </w:numPr>
        <w:bidi/>
        <w:spacing w:after="0" w:line="240" w:lineRule="auto"/>
        <w:jc w:val="both"/>
        <w:rPr>
          <w:rFonts w:asciiTheme="minorBidi" w:eastAsia="Times New Roman" w:hAnsiTheme="minorBidi"/>
          <w:b/>
          <w:bCs/>
          <w:sz w:val="32"/>
          <w:szCs w:val="32"/>
        </w:rPr>
      </w:pPr>
      <w:r w:rsidRPr="00E531FD">
        <w:rPr>
          <w:rFonts w:asciiTheme="minorBidi" w:eastAsia="Times New Roman" w:hAnsiTheme="minorBidi"/>
          <w:b/>
          <w:bCs/>
          <w:sz w:val="32"/>
          <w:szCs w:val="32"/>
          <w:rtl/>
        </w:rPr>
        <w:t>تلتزم الشركة بما ورد في قوائم العقوبات والحظر الرسمية الصادرة عن الامم المتحدة – مجلس الامن، الاتحاد الاوروبي ومكتب مراقبة الاصول الامريكية</w:t>
      </w:r>
      <w:r w:rsidRPr="00E531FD">
        <w:rPr>
          <w:rFonts w:asciiTheme="minorBidi" w:eastAsia="Times New Roman" w:hAnsiTheme="minorBidi"/>
          <w:b/>
          <w:bCs/>
          <w:sz w:val="32"/>
          <w:szCs w:val="32"/>
        </w:rPr>
        <w:t xml:space="preserve"> (OFAC) </w:t>
      </w:r>
      <w:r w:rsidRPr="00E531FD">
        <w:rPr>
          <w:rFonts w:asciiTheme="minorBidi" w:eastAsia="Times New Roman" w:hAnsiTheme="minorBidi"/>
          <w:b/>
          <w:bCs/>
          <w:sz w:val="32"/>
          <w:szCs w:val="32"/>
          <w:rtl/>
        </w:rPr>
        <w:t>وغيرها من قوائم الحظر والعقوبات التي من شأنها حماية الشركة من التعامل مع افراد/ هيئات/ جهات/ دول يحظر التعامل معها</w:t>
      </w:r>
      <w:r w:rsidRPr="00E531FD">
        <w:rPr>
          <w:rFonts w:asciiTheme="minorBidi" w:eastAsia="Times New Roman" w:hAnsiTheme="minorBidi"/>
          <w:b/>
          <w:bCs/>
          <w:sz w:val="32"/>
          <w:szCs w:val="32"/>
        </w:rPr>
        <w:t xml:space="preserve"> .</w:t>
      </w:r>
    </w:p>
    <w:p w14:paraId="329A7167" w14:textId="77777777" w:rsidR="00E531FD" w:rsidRPr="00E531FD" w:rsidRDefault="00E531FD" w:rsidP="00E531FD">
      <w:pPr>
        <w:pStyle w:val="ListParagraph"/>
        <w:bidi/>
        <w:spacing w:after="0" w:line="240" w:lineRule="auto"/>
        <w:jc w:val="both"/>
        <w:rPr>
          <w:rFonts w:asciiTheme="minorBidi" w:eastAsia="Times New Roman" w:hAnsiTheme="minorBidi"/>
          <w:b/>
          <w:bCs/>
          <w:sz w:val="32"/>
          <w:szCs w:val="32"/>
        </w:rPr>
      </w:pPr>
    </w:p>
    <w:p w14:paraId="55556AA9" w14:textId="77777777" w:rsidR="00FA53F6" w:rsidRPr="00E531FD" w:rsidRDefault="00FA53F6" w:rsidP="00FA53F6">
      <w:pPr>
        <w:shd w:val="clear" w:color="auto" w:fill="FCFCFC"/>
        <w:bidi/>
        <w:spacing w:after="225" w:line="240" w:lineRule="auto"/>
        <w:jc w:val="both"/>
        <w:textAlignment w:val="baseline"/>
        <w:rPr>
          <w:rFonts w:asciiTheme="minorBidi" w:eastAsia="Times New Roman" w:hAnsiTheme="minorBidi"/>
          <w:b/>
          <w:bCs/>
          <w:sz w:val="32"/>
          <w:szCs w:val="32"/>
        </w:rPr>
      </w:pPr>
      <w:r w:rsidRPr="00E531FD">
        <w:rPr>
          <w:rFonts w:asciiTheme="minorBidi" w:eastAsia="Times New Roman" w:hAnsiTheme="minorBidi"/>
          <w:b/>
          <w:bCs/>
          <w:sz w:val="32"/>
          <w:szCs w:val="32"/>
          <w:rtl/>
        </w:rPr>
        <w:t>كذلك تسترشد الشركة بتوصيات مجموعة العمل المالي</w:t>
      </w:r>
      <w:r w:rsidRPr="00E531FD">
        <w:rPr>
          <w:rFonts w:asciiTheme="minorBidi" w:eastAsia="Times New Roman" w:hAnsiTheme="minorBidi"/>
          <w:b/>
          <w:bCs/>
          <w:sz w:val="32"/>
          <w:szCs w:val="32"/>
        </w:rPr>
        <w:t xml:space="preserve"> FATF-Financial Action Task Force </w:t>
      </w:r>
      <w:r w:rsidRPr="00E531FD">
        <w:rPr>
          <w:rFonts w:asciiTheme="minorBidi" w:eastAsia="Times New Roman" w:hAnsiTheme="minorBidi"/>
          <w:b/>
          <w:bCs/>
          <w:sz w:val="32"/>
          <w:szCs w:val="32"/>
          <w:rtl/>
        </w:rPr>
        <w:t>لتطبيق الممارسات السليمة في مجال مكافحة غسل الاموال وتمويل الارهاب كون الاردن عضو فاعل في مجموعة العمل المالي لدول الشرق الاوسط وشمال افريقيا</w:t>
      </w:r>
      <w:r w:rsidRPr="00E531FD">
        <w:rPr>
          <w:rFonts w:asciiTheme="minorBidi" w:eastAsia="Times New Roman" w:hAnsiTheme="minorBidi"/>
          <w:b/>
          <w:bCs/>
          <w:sz w:val="32"/>
          <w:szCs w:val="32"/>
        </w:rPr>
        <w:t xml:space="preserve"> MENAFATF.</w:t>
      </w:r>
    </w:p>
    <w:p w14:paraId="48E9BA06" w14:textId="1804F3AA" w:rsidR="00FA53F6" w:rsidRPr="00E531FD" w:rsidRDefault="00FA53F6" w:rsidP="00FA53F6">
      <w:pPr>
        <w:shd w:val="clear" w:color="auto" w:fill="FCFCFC"/>
        <w:bidi/>
        <w:spacing w:after="225" w:line="240" w:lineRule="auto"/>
        <w:jc w:val="both"/>
        <w:textAlignment w:val="baseline"/>
        <w:rPr>
          <w:rFonts w:asciiTheme="minorBidi" w:eastAsia="Times New Roman" w:hAnsiTheme="minorBidi"/>
          <w:b/>
          <w:bCs/>
          <w:sz w:val="32"/>
          <w:szCs w:val="32"/>
        </w:rPr>
      </w:pPr>
      <w:r w:rsidRPr="00E531FD">
        <w:rPr>
          <w:rFonts w:asciiTheme="minorBidi" w:eastAsia="Times New Roman" w:hAnsiTheme="minorBidi"/>
          <w:b/>
          <w:bCs/>
          <w:sz w:val="32"/>
          <w:szCs w:val="32"/>
          <w:rtl/>
        </w:rPr>
        <w:t>كما تراقب الشركة كافة الحركات المنفذة من خلالها من مكافحة غسل الاموال وتمويل الارهاب ( دائرة الامتثال ومكافحة غسل الاموال) من خلال التقارير الخاصة</w:t>
      </w:r>
      <w:r w:rsidRPr="00E531FD">
        <w:rPr>
          <w:rFonts w:asciiTheme="minorBidi" w:eastAsia="Times New Roman" w:hAnsiTheme="minorBidi"/>
          <w:b/>
          <w:bCs/>
          <w:sz w:val="32"/>
          <w:szCs w:val="32"/>
        </w:rPr>
        <w:t xml:space="preserve"> AML Daily Reports </w:t>
      </w:r>
      <w:r w:rsidRPr="00E531FD">
        <w:rPr>
          <w:rFonts w:asciiTheme="minorBidi" w:eastAsia="Times New Roman" w:hAnsiTheme="minorBidi"/>
          <w:b/>
          <w:bCs/>
          <w:sz w:val="32"/>
          <w:szCs w:val="32"/>
          <w:rtl/>
        </w:rPr>
        <w:t>للتأكد من سلامة العمليات المنفذة من خلال تمرير الحركات على نظام الخاص بنا .</w:t>
      </w:r>
    </w:p>
    <w:p w14:paraId="49924FD8" w14:textId="77777777" w:rsidR="00FA53F6" w:rsidRPr="00E531FD" w:rsidRDefault="00FA53F6" w:rsidP="00FA53F6">
      <w:pPr>
        <w:shd w:val="clear" w:color="auto" w:fill="FCFCFC"/>
        <w:bidi/>
        <w:spacing w:after="225" w:line="240" w:lineRule="auto"/>
        <w:jc w:val="both"/>
        <w:textAlignment w:val="baseline"/>
        <w:rPr>
          <w:rFonts w:asciiTheme="minorBidi" w:eastAsia="Times New Roman" w:hAnsiTheme="minorBidi"/>
          <w:b/>
          <w:bCs/>
          <w:sz w:val="32"/>
          <w:szCs w:val="32"/>
        </w:rPr>
      </w:pPr>
      <w:r w:rsidRPr="00E531FD">
        <w:rPr>
          <w:rFonts w:asciiTheme="minorBidi" w:eastAsia="Times New Roman" w:hAnsiTheme="minorBidi"/>
          <w:b/>
          <w:bCs/>
          <w:sz w:val="32"/>
          <w:szCs w:val="32"/>
          <w:rtl/>
        </w:rPr>
        <w:lastRenderedPageBreak/>
        <w:t>و تقوم الشركة بتصنيف عملائها حسب درجة المخاطرة انسجاما مع القوانين والتعليمات الناظمة لعملية مكافحة غسل الاموال وتمويل الارهاب الى (مرتفع المخاطر، متوسط المخاطر، منخفض المخاطر) وذلك لبذل العناية اللازمة فيما يخص العملاء والحصول على الموافقات اللازمة فيما يخص قبول العميل بحسب تصنيفه، حيث يتم التصنيف بحسب ما ورد في تعليمات البنك المركزي الاردني واسترشادا بتوصيات مجموعة العمل المالي</w:t>
      </w:r>
      <w:r w:rsidRPr="00E531FD">
        <w:rPr>
          <w:rFonts w:asciiTheme="minorBidi" w:eastAsia="Times New Roman" w:hAnsiTheme="minorBidi"/>
          <w:b/>
          <w:bCs/>
          <w:sz w:val="32"/>
          <w:szCs w:val="32"/>
        </w:rPr>
        <w:t xml:space="preserve"> FATF.</w:t>
      </w:r>
    </w:p>
    <w:p w14:paraId="0D0DFF3E" w14:textId="77777777" w:rsidR="00FA53F6" w:rsidRPr="00E531FD" w:rsidRDefault="00FA53F6" w:rsidP="00FA53F6">
      <w:pPr>
        <w:shd w:val="clear" w:color="auto" w:fill="FCFCFC"/>
        <w:bidi/>
        <w:spacing w:after="225" w:line="240" w:lineRule="auto"/>
        <w:jc w:val="both"/>
        <w:textAlignment w:val="baseline"/>
        <w:rPr>
          <w:rFonts w:asciiTheme="minorBidi" w:eastAsia="Times New Roman" w:hAnsiTheme="minorBidi"/>
          <w:b/>
          <w:bCs/>
          <w:sz w:val="32"/>
          <w:szCs w:val="32"/>
        </w:rPr>
      </w:pPr>
      <w:r w:rsidRPr="00E531FD">
        <w:rPr>
          <w:rFonts w:asciiTheme="minorBidi" w:eastAsia="Times New Roman" w:hAnsiTheme="minorBidi"/>
          <w:b/>
          <w:bCs/>
          <w:sz w:val="32"/>
          <w:szCs w:val="32"/>
          <w:rtl/>
        </w:rPr>
        <w:t>وتقوم دائرة الامتثال وضع الضوابط الرقابية اللزمة لضمان حماية الشركة وعملائها من التعامل مع اية جهة يحظر التعامل معها وعكس ذلك في اجراءاتها. حيث لا تتعامل الشركة مع عملاء لا يملكون معلومات أو مستندات كافية للتعرف عليهم، ووفقا للوثائق المحددة ضمن اجراءات قبول العميل، ولا يتم إنشاء أي علاقة صيرفية أو إعطاء رقم تعريف عميل تحت أي ظرف من الظروف - مع أي منهم بدون وجود وثائق أو بيانات كافية، و حتى استكمال جميع متطلبات العناية الواجبة، بحسب اجراءات الش</w:t>
      </w:r>
      <w:bookmarkStart w:id="0" w:name="_GoBack"/>
      <w:bookmarkEnd w:id="0"/>
      <w:r w:rsidRPr="00E531FD">
        <w:rPr>
          <w:rFonts w:asciiTheme="minorBidi" w:eastAsia="Times New Roman" w:hAnsiTheme="minorBidi"/>
          <w:b/>
          <w:bCs/>
          <w:sz w:val="32"/>
          <w:szCs w:val="32"/>
          <w:rtl/>
        </w:rPr>
        <w:t>ركة</w:t>
      </w:r>
      <w:r w:rsidRPr="00E531FD">
        <w:rPr>
          <w:rFonts w:asciiTheme="minorBidi" w:eastAsia="Times New Roman" w:hAnsiTheme="minorBidi"/>
          <w:b/>
          <w:bCs/>
          <w:sz w:val="32"/>
          <w:szCs w:val="32"/>
        </w:rPr>
        <w:t>.</w:t>
      </w:r>
    </w:p>
    <w:p w14:paraId="727B3B74" w14:textId="77777777" w:rsidR="00A3564D" w:rsidRPr="00E531FD" w:rsidRDefault="00A3564D">
      <w:pPr>
        <w:rPr>
          <w:b/>
          <w:bCs/>
          <w:sz w:val="32"/>
          <w:szCs w:val="32"/>
        </w:rPr>
      </w:pPr>
    </w:p>
    <w:sectPr w:rsidR="00A3564D" w:rsidRPr="00E531FD" w:rsidSect="00CB624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12BCF"/>
    <w:multiLevelType w:val="hybridMultilevel"/>
    <w:tmpl w:val="F09EA32E"/>
    <w:lvl w:ilvl="0" w:tplc="F11C51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2138DE"/>
    <w:multiLevelType w:val="hybridMultilevel"/>
    <w:tmpl w:val="B076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64D"/>
    <w:rsid w:val="00A3564D"/>
    <w:rsid w:val="00AF55E6"/>
    <w:rsid w:val="00CB6243"/>
    <w:rsid w:val="00E531FD"/>
    <w:rsid w:val="00EA28A2"/>
    <w:rsid w:val="00FA53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5191"/>
  <w15:chartTrackingRefBased/>
  <w15:docId w15:val="{2758DFFD-28AF-4D6A-A26C-A1EDCB82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0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ISRAA</dc:creator>
  <cp:keywords/>
  <dc:description/>
  <cp:lastModifiedBy>HP</cp:lastModifiedBy>
  <cp:revision>4</cp:revision>
  <cp:lastPrinted>2022-12-25T08:31:00Z</cp:lastPrinted>
  <dcterms:created xsi:type="dcterms:W3CDTF">2023-01-31T06:14:00Z</dcterms:created>
  <dcterms:modified xsi:type="dcterms:W3CDTF">2024-07-02T20:55:00Z</dcterms:modified>
</cp:coreProperties>
</file>